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2F" w:rsidRPr="0090462F" w:rsidRDefault="0090462F" w:rsidP="0090462F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r w:rsidRPr="0090462F">
        <w:rPr>
          <w:rFonts w:ascii="Arial" w:eastAsia="Times New Roman" w:hAnsi="Arial" w:cs="Arial"/>
          <w:b/>
          <w:bCs/>
          <w:color w:val="000000"/>
          <w:sz w:val="36"/>
          <w:szCs w:val="36"/>
        </w:rPr>
        <w:t>Game of International Opinion</w:t>
      </w:r>
      <w:bookmarkEnd w:id="0"/>
    </w:p>
    <w:p w:rsidR="0090462F" w:rsidRPr="0090462F" w:rsidRDefault="0090462F" w:rsidP="009046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TO PLAY INTERNATIONAL OPINION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International Opinion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is a noncompetitive communications game for use by multicultural groups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Objectives of the game include enabling players to get acquainted and begin to appreciate and accept differences in behavior, cultural patterns and traditions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game is designed for use by adult groups, although teenagers often enjoy it, too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game is best used with groups of 4 to 8 players, although any number can play.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Card Description: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 The 30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EASY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cards are casual and usually easy to answer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30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DIFFICULT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cards are more challenging and thought provoking</w:t>
      </w:r>
      <w:proofErr w:type="gramStart"/>
      <w:r w:rsidRPr="0090462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22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SPIRITUAL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cards are religion-oriented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(When you print them out, it might be best to color code them in the three different categories.)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Setting up the Game: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 A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game organizer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divides the player into small groups, each of which has a mixture of cultural backgrounds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leader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is designated for each group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game organizer will have pre-selected cards appropriate to the players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If the English level of the participants is low, use only the EASY cards; for more philosophical (DIFFICULT) or religious (SPIRITUAL) discussion, use cards selected by the leader or organizer.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Rules of the Game</w:t>
      </w:r>
      <w:proofErr w:type="gramStart"/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There are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no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right or wrong responses to the questions.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Each player will have 4 minutes to respond to the card that he or she has drawn.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Read t</w:t>
      </w:r>
      <w:r>
        <w:rPr>
          <w:rFonts w:ascii="Arial" w:eastAsia="Times New Roman" w:hAnsi="Arial" w:cs="Arial"/>
          <w:color w:val="000000"/>
          <w:sz w:val="24"/>
          <w:szCs w:val="24"/>
        </w:rPr>
        <w:t>he question aloud to the group 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prior to the player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’s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response.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When the player is finished giving his or her response, 2 other players may also make brief comments on the card’s subject.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Don’t argue about an answer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Feel free to discuss it.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The group leader places the cards face down in the center of the group, and asks for a volunteer to begin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first volunteer takes the top card, reads it aloud, and responds with his or her viewpoints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leader may then allow a maximum of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</w:rPr>
        <w:t>2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 other players to make brief comments, using a time limit if necessary.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The game continues in a clockwise direction, with each player in turn drawing a card and responding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game ends when everyone in the group has had the opportunity to respond to at least 2 cards, unless a game “time limit” has been assigned.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Options</w:t>
      </w:r>
      <w:proofErr w:type="gramStart"/>
      <w:r w:rsidRPr="0090462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 leader may give a player a choice of answering the first card drawn or drawing another card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If a player chooses to draw a second card from the stack, he or she should answer the question without drawing another card, or else the turn passes to the next participant.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There is a value in spontaneous answers, but if members of the group are uncomfortable in having too little time to plan their answers, try the following:  At the beginning of the game, the second player may draw a card at the same time as the first volunteer, in order to have time to plan an answer while listening to the first player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0462F">
        <w:rPr>
          <w:rFonts w:ascii="Arial" w:eastAsia="Times New Roman" w:hAnsi="Arial" w:cs="Arial"/>
          <w:color w:val="000000"/>
          <w:sz w:val="24"/>
          <w:szCs w:val="24"/>
        </w:rPr>
        <w:t>This approach may continue, with the third player drawing a card at the time the second person begins to answer, etc.</w:t>
      </w:r>
    </w:p>
    <w:p w:rsidR="00ED6DB4" w:rsidRDefault="00ED6DB4"/>
    <w:sectPr w:rsidR="00ED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2F"/>
    <w:rsid w:val="0090462F"/>
    <w:rsid w:val="00E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7FEED-CFB6-4C53-9358-66D9EAE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1</cp:revision>
  <dcterms:created xsi:type="dcterms:W3CDTF">2018-09-18T19:47:00Z</dcterms:created>
  <dcterms:modified xsi:type="dcterms:W3CDTF">2018-09-18T19:50:00Z</dcterms:modified>
</cp:coreProperties>
</file>